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3B8A" w14:textId="77777777" w:rsidR="001034A5" w:rsidRDefault="001034A5" w:rsidP="001034A5">
      <w:pPr>
        <w:spacing w:after="300"/>
        <w:rPr>
          <w:b/>
          <w:bCs/>
          <w:color w:val="000000" w:themeColor="text1"/>
          <w:sz w:val="36"/>
          <w:szCs w:val="36"/>
          <w:shd w:val="clear" w:color="auto" w:fill="FFFFFF"/>
        </w:rPr>
      </w:pPr>
    </w:p>
    <w:p w14:paraId="2CC4DC3F" w14:textId="5348282D" w:rsidR="00CC5329" w:rsidRPr="00087743" w:rsidRDefault="00CC5329" w:rsidP="001034A5">
      <w:pPr>
        <w:spacing w:after="300"/>
        <w:jc w:val="center"/>
      </w:pPr>
      <w:r w:rsidRPr="00CC5329">
        <w:rPr>
          <w:b/>
          <w:bCs/>
          <w:color w:val="000000" w:themeColor="text1"/>
          <w:sz w:val="36"/>
          <w:szCs w:val="36"/>
          <w:shd w:val="clear" w:color="auto" w:fill="FFFFFF"/>
        </w:rPr>
        <w:t>POLITICA DE RESPONSABILIDAD SOCIAL</w:t>
      </w:r>
    </w:p>
    <w:p w14:paraId="04C8AF69" w14:textId="77777777" w:rsidR="001034A5" w:rsidRDefault="001034A5" w:rsidP="00650ECA">
      <w:pPr>
        <w:jc w:val="both"/>
        <w:rPr>
          <w:b/>
          <w:bCs/>
          <w:color w:val="000000" w:themeColor="text1"/>
          <w:sz w:val="36"/>
          <w:szCs w:val="36"/>
          <w:shd w:val="clear" w:color="auto" w:fill="FFFFFF"/>
        </w:rPr>
      </w:pPr>
    </w:p>
    <w:p w14:paraId="0F9DD6FD" w14:textId="16598ED1" w:rsidR="00625375" w:rsidRPr="00650ECA" w:rsidRDefault="00625375" w:rsidP="00650ECA">
      <w:pPr>
        <w:jc w:val="both"/>
        <w:rPr>
          <w:bCs/>
          <w:color w:val="000000" w:themeColor="text1"/>
          <w:sz w:val="24"/>
          <w:szCs w:val="24"/>
          <w:shd w:val="clear" w:color="auto" w:fill="FFFFFF"/>
        </w:rPr>
      </w:pPr>
      <w:r w:rsidRPr="00650ECA">
        <w:rPr>
          <w:color w:val="000000" w:themeColor="text1"/>
          <w:sz w:val="24"/>
          <w:szCs w:val="24"/>
          <w:shd w:val="clear" w:color="auto" w:fill="FFFFFF"/>
        </w:rPr>
        <w:t xml:space="preserve">En ALCAGÜETE SAS Creemos firmemente en que su propósito debe ser la </w:t>
      </w:r>
      <w:r w:rsidRPr="00650ECA">
        <w:rPr>
          <w:bCs/>
          <w:color w:val="000000" w:themeColor="text1"/>
          <w:sz w:val="24"/>
          <w:szCs w:val="24"/>
          <w:shd w:val="clear" w:color="auto" w:fill="FFFFFF"/>
        </w:rPr>
        <w:t xml:space="preserve">solución a problemas sociales y ambientales </w:t>
      </w:r>
      <w:r w:rsidRPr="00650ECA">
        <w:rPr>
          <w:color w:val="000000" w:themeColor="text1"/>
          <w:sz w:val="24"/>
          <w:szCs w:val="24"/>
          <w:shd w:val="clear" w:color="auto" w:fill="FFFFFF"/>
        </w:rPr>
        <w:t xml:space="preserve">de una manera </w:t>
      </w:r>
      <w:r w:rsidRPr="00650ECA">
        <w:rPr>
          <w:bCs/>
          <w:color w:val="000000" w:themeColor="text1"/>
          <w:sz w:val="24"/>
          <w:szCs w:val="24"/>
          <w:shd w:val="clear" w:color="auto" w:fill="FFFFFF"/>
        </w:rPr>
        <w:t>rentable y sostenible</w:t>
      </w:r>
      <w:r w:rsidRPr="00650ECA">
        <w:rPr>
          <w:color w:val="000000" w:themeColor="text1"/>
          <w:sz w:val="24"/>
          <w:szCs w:val="24"/>
          <w:shd w:val="clear" w:color="auto" w:fill="FFFFFF"/>
        </w:rPr>
        <w:t xml:space="preserve">. En trabajar para construir algo más grande que nuestros intereses, algo que perdure y que </w:t>
      </w:r>
      <w:r w:rsidRPr="00650ECA">
        <w:rPr>
          <w:bCs/>
          <w:color w:val="000000" w:themeColor="text1"/>
          <w:sz w:val="24"/>
          <w:szCs w:val="24"/>
          <w:shd w:val="clear" w:color="auto" w:fill="FFFFFF"/>
        </w:rPr>
        <w:t>transcienda</w:t>
      </w:r>
      <w:r w:rsidRPr="00650ECA">
        <w:rPr>
          <w:color w:val="000000" w:themeColor="text1"/>
          <w:sz w:val="24"/>
          <w:szCs w:val="24"/>
          <w:shd w:val="clear" w:color="auto" w:fill="FFFFFF"/>
        </w:rPr>
        <w:t xml:space="preserve">. Que sea referente de </w:t>
      </w:r>
      <w:r w:rsidRPr="00650ECA">
        <w:rPr>
          <w:bCs/>
          <w:color w:val="000000" w:themeColor="text1"/>
          <w:sz w:val="24"/>
          <w:szCs w:val="24"/>
          <w:shd w:val="clear" w:color="auto" w:fill="FFFFFF"/>
        </w:rPr>
        <w:t>creatividad, innovación, solidaridad, transparencia y pasión.</w:t>
      </w:r>
    </w:p>
    <w:p w14:paraId="33BE2100" w14:textId="77777777" w:rsidR="00650ECA" w:rsidRDefault="00650ECA" w:rsidP="00650ECA">
      <w:pPr>
        <w:jc w:val="both"/>
        <w:rPr>
          <w:color w:val="000000" w:themeColor="text1"/>
          <w:sz w:val="24"/>
          <w:szCs w:val="24"/>
          <w:shd w:val="clear" w:color="auto" w:fill="FFFFFF"/>
        </w:rPr>
      </w:pPr>
    </w:p>
    <w:p w14:paraId="7372B9BD" w14:textId="18BA077E" w:rsidR="00625375" w:rsidRPr="00650ECA" w:rsidRDefault="00625375" w:rsidP="00650ECA">
      <w:pPr>
        <w:jc w:val="both"/>
        <w:rPr>
          <w:color w:val="000000" w:themeColor="text1"/>
          <w:sz w:val="24"/>
          <w:szCs w:val="24"/>
          <w:shd w:val="clear" w:color="auto" w:fill="FFFFFF"/>
        </w:rPr>
      </w:pPr>
      <w:r w:rsidRPr="00650ECA">
        <w:rPr>
          <w:color w:val="000000" w:themeColor="text1"/>
          <w:sz w:val="24"/>
          <w:szCs w:val="24"/>
          <w:shd w:val="clear" w:color="auto" w:fill="FFFFFF"/>
        </w:rPr>
        <w:t xml:space="preserve">Queremos hacerlo de la mano de un equipo humano y talentoso que comparta el propósito y los valores de la empresa. </w:t>
      </w:r>
    </w:p>
    <w:p w14:paraId="726B4207" w14:textId="77777777" w:rsidR="00650ECA" w:rsidRDefault="00650ECA" w:rsidP="00650ECA">
      <w:pPr>
        <w:jc w:val="both"/>
        <w:rPr>
          <w:color w:val="000000" w:themeColor="text1"/>
          <w:sz w:val="24"/>
          <w:szCs w:val="24"/>
          <w:shd w:val="clear" w:color="auto" w:fill="FFFFFF"/>
        </w:rPr>
      </w:pPr>
    </w:p>
    <w:p w14:paraId="134C773B" w14:textId="2004C7A1" w:rsidR="00625375" w:rsidRPr="00650ECA" w:rsidRDefault="00625375" w:rsidP="00650ECA">
      <w:pPr>
        <w:jc w:val="both"/>
        <w:rPr>
          <w:color w:val="000000" w:themeColor="text1"/>
          <w:sz w:val="24"/>
          <w:szCs w:val="24"/>
          <w:shd w:val="clear" w:color="auto" w:fill="FFFFFF"/>
        </w:rPr>
      </w:pPr>
      <w:r w:rsidRPr="00650ECA">
        <w:rPr>
          <w:color w:val="000000" w:themeColor="text1"/>
          <w:sz w:val="24"/>
          <w:szCs w:val="24"/>
          <w:shd w:val="clear" w:color="auto" w:fill="FFFFFF"/>
        </w:rPr>
        <w:t>Soñamos que nuestra empresa y su propósito evolucione y crezca con el paso de los años y que no dependa de sus fundadores para su existencia.</w:t>
      </w:r>
    </w:p>
    <w:p w14:paraId="47CECCCA" w14:textId="77777777" w:rsidR="00650ECA" w:rsidRDefault="00650ECA" w:rsidP="00650ECA">
      <w:pPr>
        <w:jc w:val="both"/>
        <w:rPr>
          <w:color w:val="000000" w:themeColor="text1"/>
          <w:sz w:val="24"/>
          <w:szCs w:val="24"/>
          <w:shd w:val="clear" w:color="auto" w:fill="FFFFFF"/>
        </w:rPr>
      </w:pPr>
    </w:p>
    <w:p w14:paraId="702CFAAD" w14:textId="17D0FEE1" w:rsidR="00797B45" w:rsidRPr="00650ECA" w:rsidRDefault="00625375" w:rsidP="00650ECA">
      <w:pPr>
        <w:jc w:val="both"/>
        <w:rPr>
          <w:color w:val="000000" w:themeColor="text1"/>
          <w:sz w:val="24"/>
          <w:szCs w:val="24"/>
          <w:shd w:val="clear" w:color="auto" w:fill="FFFFFF"/>
        </w:rPr>
      </w:pPr>
      <w:r w:rsidRPr="00650ECA">
        <w:rPr>
          <w:color w:val="000000" w:themeColor="text1"/>
          <w:sz w:val="24"/>
          <w:szCs w:val="24"/>
          <w:shd w:val="clear" w:color="auto" w:fill="FFFFFF"/>
        </w:rPr>
        <w:t>En ALCAGUETE</w:t>
      </w:r>
      <w:r w:rsidR="00797B45" w:rsidRPr="00650ECA">
        <w:rPr>
          <w:color w:val="000000" w:themeColor="text1"/>
          <w:sz w:val="24"/>
          <w:szCs w:val="24"/>
          <w:shd w:val="clear" w:color="auto" w:fill="FFFFFF"/>
        </w:rPr>
        <w:t xml:space="preserve"> SAS estamos</w:t>
      </w:r>
      <w:r w:rsidRPr="00650ECA">
        <w:rPr>
          <w:color w:val="000000" w:themeColor="text1"/>
          <w:sz w:val="24"/>
          <w:szCs w:val="24"/>
          <w:shd w:val="clear" w:color="auto" w:fill="FFFFFF"/>
        </w:rPr>
        <w:t xml:space="preserve"> convencidos de solucionar problemas sociales y ambientales a través de la ejecución de modelos de negocio, por esta razón las actividades de ALCAGUETE</w:t>
      </w:r>
      <w:r w:rsidR="00797B45" w:rsidRPr="00650ECA">
        <w:rPr>
          <w:color w:val="000000" w:themeColor="text1"/>
          <w:sz w:val="24"/>
          <w:szCs w:val="24"/>
          <w:shd w:val="clear" w:color="auto" w:fill="FFFFFF"/>
        </w:rPr>
        <w:t xml:space="preserve"> SAS están</w:t>
      </w:r>
      <w:r w:rsidRPr="00650ECA">
        <w:rPr>
          <w:color w:val="000000" w:themeColor="text1"/>
          <w:sz w:val="24"/>
          <w:szCs w:val="24"/>
          <w:shd w:val="clear" w:color="auto" w:fill="FFFFFF"/>
        </w:rPr>
        <w:t xml:space="preserve"> enfocada</w:t>
      </w:r>
      <w:r w:rsidR="00797B45" w:rsidRPr="00650ECA">
        <w:rPr>
          <w:color w:val="000000" w:themeColor="text1"/>
          <w:sz w:val="24"/>
          <w:szCs w:val="24"/>
          <w:shd w:val="clear" w:color="auto" w:fill="FFFFFF"/>
        </w:rPr>
        <w:t xml:space="preserve"> a ser una empresa sostenible.</w:t>
      </w:r>
    </w:p>
    <w:p w14:paraId="1EEC83D7" w14:textId="77777777" w:rsidR="00650ECA" w:rsidRDefault="00650ECA" w:rsidP="00650ECA">
      <w:pPr>
        <w:jc w:val="both"/>
        <w:rPr>
          <w:color w:val="000000" w:themeColor="text1"/>
          <w:sz w:val="24"/>
          <w:szCs w:val="24"/>
          <w:shd w:val="clear" w:color="auto" w:fill="FFFFFF"/>
        </w:rPr>
      </w:pPr>
    </w:p>
    <w:p w14:paraId="1285D096" w14:textId="178686C2" w:rsidR="00797B45" w:rsidRPr="00650ECA" w:rsidRDefault="00797B45" w:rsidP="00650ECA">
      <w:pPr>
        <w:jc w:val="both"/>
        <w:rPr>
          <w:color w:val="000000" w:themeColor="text1"/>
          <w:sz w:val="24"/>
          <w:szCs w:val="24"/>
          <w:shd w:val="clear" w:color="auto" w:fill="FFFFFF"/>
        </w:rPr>
      </w:pPr>
      <w:r w:rsidRPr="00650ECA">
        <w:rPr>
          <w:color w:val="000000" w:themeColor="text1"/>
          <w:sz w:val="24"/>
          <w:szCs w:val="24"/>
          <w:shd w:val="clear" w:color="auto" w:fill="FFFFFF"/>
        </w:rPr>
        <w:t>Para ello hay que contemplar los siguientes aspectos como parte de la responsabilidad social:</w:t>
      </w:r>
    </w:p>
    <w:p w14:paraId="27E27FB6" w14:textId="5612CEBD" w:rsidR="00797B45" w:rsidRPr="00650ECA" w:rsidRDefault="001034A5" w:rsidP="00650ECA">
      <w:pPr>
        <w:jc w:val="both"/>
        <w:rPr>
          <w:color w:val="000000" w:themeColor="text1"/>
          <w:sz w:val="24"/>
          <w:szCs w:val="24"/>
          <w:shd w:val="clear" w:color="auto" w:fill="FFFFFF"/>
        </w:rPr>
      </w:pPr>
      <w:r>
        <w:rPr>
          <w:color w:val="000000" w:themeColor="text1"/>
          <w:sz w:val="24"/>
          <w:szCs w:val="24"/>
          <w:shd w:val="clear" w:color="auto" w:fill="FFFFFF"/>
        </w:rPr>
        <w:br/>
      </w:r>
    </w:p>
    <w:p w14:paraId="353436FB" w14:textId="1CBA3A69" w:rsidR="00797B45" w:rsidRPr="00650ECA" w:rsidRDefault="00797B45" w:rsidP="00650ECA">
      <w:pPr>
        <w:pStyle w:val="Prrafodelista"/>
        <w:numPr>
          <w:ilvl w:val="0"/>
          <w:numId w:val="18"/>
        </w:numPr>
        <w:jc w:val="both"/>
        <w:rPr>
          <w:color w:val="000000" w:themeColor="text1"/>
          <w:sz w:val="24"/>
          <w:szCs w:val="24"/>
          <w:shd w:val="clear" w:color="auto" w:fill="FFFFFF"/>
        </w:rPr>
      </w:pPr>
      <w:r w:rsidRPr="00650ECA">
        <w:rPr>
          <w:b/>
          <w:color w:val="000000" w:themeColor="text1"/>
          <w:sz w:val="24"/>
          <w:szCs w:val="24"/>
          <w:shd w:val="clear" w:color="auto" w:fill="FFFFFF"/>
        </w:rPr>
        <w:t>Compromiso con los valores y principios Éticos</w:t>
      </w:r>
      <w:r w:rsidRPr="00650ECA">
        <w:rPr>
          <w:color w:val="000000" w:themeColor="text1"/>
          <w:sz w:val="24"/>
          <w:szCs w:val="24"/>
          <w:shd w:val="clear" w:color="auto" w:fill="FFFFFF"/>
        </w:rPr>
        <w:t>: ALCAGÜETE SAS, tiene un código de Ética, el cual establece los valores fundamentales de la empresa el cual nos guía en todas las actividades y decisiones.</w:t>
      </w:r>
    </w:p>
    <w:p w14:paraId="79EADDE5" w14:textId="728A8DE5" w:rsidR="002C4DEC" w:rsidRPr="00650ECA" w:rsidRDefault="00797B45" w:rsidP="00650ECA">
      <w:pPr>
        <w:pStyle w:val="Prrafodelista"/>
        <w:numPr>
          <w:ilvl w:val="0"/>
          <w:numId w:val="18"/>
        </w:numPr>
        <w:jc w:val="both"/>
        <w:rPr>
          <w:color w:val="000000" w:themeColor="text1"/>
          <w:sz w:val="24"/>
          <w:szCs w:val="24"/>
          <w:shd w:val="clear" w:color="auto" w:fill="FFFFFF"/>
        </w:rPr>
      </w:pPr>
      <w:r w:rsidRPr="00650ECA">
        <w:rPr>
          <w:b/>
          <w:color w:val="000000" w:themeColor="text1"/>
          <w:sz w:val="24"/>
          <w:szCs w:val="24"/>
          <w:shd w:val="clear" w:color="auto" w:fill="FFFFFF"/>
        </w:rPr>
        <w:t>Respeto a los derechos humanos</w:t>
      </w:r>
      <w:r w:rsidRPr="00650ECA">
        <w:rPr>
          <w:color w:val="000000" w:themeColor="text1"/>
          <w:sz w:val="24"/>
          <w:szCs w:val="24"/>
          <w:shd w:val="clear" w:color="auto" w:fill="FFFFFF"/>
        </w:rPr>
        <w:t xml:space="preserve">: </w:t>
      </w:r>
      <w:r w:rsidR="002C4DEC" w:rsidRPr="00650ECA">
        <w:rPr>
          <w:color w:val="000000" w:themeColor="text1"/>
          <w:sz w:val="24"/>
          <w:szCs w:val="24"/>
        </w:rPr>
        <w:t xml:space="preserve">ALCAGÜETE SAS, reconoce su deber legal, ético y comercial de respetar los derechos humanos de sus grupos de interés. En este sentido, adopta esta política fundamentada en la Declaración Universal de los Derechos Humanos y garantiza la igualdad, dignidad y libertad como derechos básicos. </w:t>
      </w:r>
    </w:p>
    <w:p w14:paraId="48726C46" w14:textId="77777777" w:rsidR="00650ECA" w:rsidRPr="00650ECA" w:rsidRDefault="00650ECA" w:rsidP="00650ECA">
      <w:pPr>
        <w:pStyle w:val="Prrafodelista"/>
        <w:ind w:left="720" w:firstLine="0"/>
        <w:jc w:val="both"/>
        <w:rPr>
          <w:color w:val="000000" w:themeColor="text1"/>
          <w:sz w:val="24"/>
          <w:szCs w:val="24"/>
          <w:shd w:val="clear" w:color="auto" w:fill="FFFFFF"/>
        </w:rPr>
      </w:pPr>
    </w:p>
    <w:p w14:paraId="076B8892" w14:textId="68B08A6D" w:rsidR="002C4DEC" w:rsidRDefault="002C4DEC" w:rsidP="00650ECA">
      <w:pPr>
        <w:ind w:left="708"/>
        <w:jc w:val="both"/>
        <w:rPr>
          <w:color w:val="000000" w:themeColor="text1"/>
          <w:sz w:val="24"/>
          <w:szCs w:val="24"/>
        </w:rPr>
      </w:pPr>
      <w:r w:rsidRPr="00650ECA">
        <w:rPr>
          <w:color w:val="000000" w:themeColor="text1"/>
          <w:sz w:val="24"/>
          <w:szCs w:val="24"/>
        </w:rPr>
        <w:t xml:space="preserve">ALCAGÜETE SAS, se comprometa a fomentar la igualdad y equidad de género como elemento estratégico para la competitividad de la compañía, promocionando y adoptando prácticas sin sesgos de género, impulsando la redistribución de los roles. </w:t>
      </w:r>
    </w:p>
    <w:p w14:paraId="57BB5EFF" w14:textId="77777777" w:rsidR="00650ECA" w:rsidRPr="00650ECA" w:rsidRDefault="00650ECA" w:rsidP="00650ECA">
      <w:pPr>
        <w:jc w:val="both"/>
        <w:rPr>
          <w:color w:val="000000" w:themeColor="text1"/>
          <w:sz w:val="24"/>
          <w:szCs w:val="24"/>
        </w:rPr>
      </w:pPr>
    </w:p>
    <w:p w14:paraId="76DC5723" w14:textId="63932D0F" w:rsidR="002C4DEC" w:rsidRDefault="002C4DEC" w:rsidP="00650ECA">
      <w:pPr>
        <w:ind w:left="708"/>
        <w:jc w:val="both"/>
        <w:rPr>
          <w:color w:val="000000" w:themeColor="text1"/>
          <w:sz w:val="24"/>
          <w:szCs w:val="24"/>
        </w:rPr>
      </w:pPr>
      <w:r w:rsidRPr="00650ECA">
        <w:rPr>
          <w:color w:val="000000" w:themeColor="text1"/>
          <w:sz w:val="24"/>
          <w:szCs w:val="24"/>
        </w:rPr>
        <w:t xml:space="preserve">ALCAGÜETE SAS, garantiza espacios de trabajo libres de discriminación, creando condiciones favorables en igualdad de oportunidades, inclusión plena y efectiva de la sociedad, generando una cultura de aprendizaje y respeto continúo aportando al desarrollo sostenible del país. </w:t>
      </w:r>
    </w:p>
    <w:p w14:paraId="203483D3" w14:textId="19B1F44C" w:rsidR="00650ECA" w:rsidRDefault="00650ECA" w:rsidP="00650ECA">
      <w:pPr>
        <w:ind w:left="708"/>
        <w:jc w:val="both"/>
        <w:rPr>
          <w:color w:val="000000" w:themeColor="text1"/>
          <w:sz w:val="24"/>
          <w:szCs w:val="24"/>
        </w:rPr>
      </w:pPr>
    </w:p>
    <w:p w14:paraId="5AF5B564" w14:textId="1F3C967F" w:rsidR="00650ECA" w:rsidRDefault="00650ECA" w:rsidP="00650ECA">
      <w:pPr>
        <w:ind w:left="708"/>
        <w:jc w:val="both"/>
        <w:rPr>
          <w:color w:val="000000" w:themeColor="text1"/>
          <w:sz w:val="24"/>
          <w:szCs w:val="24"/>
        </w:rPr>
      </w:pPr>
    </w:p>
    <w:p w14:paraId="72663F74" w14:textId="77777777" w:rsidR="00650ECA" w:rsidRDefault="00650ECA" w:rsidP="00650ECA">
      <w:pPr>
        <w:ind w:left="708"/>
        <w:jc w:val="both"/>
        <w:rPr>
          <w:color w:val="000000" w:themeColor="text1"/>
          <w:sz w:val="24"/>
          <w:szCs w:val="24"/>
        </w:rPr>
      </w:pPr>
    </w:p>
    <w:p w14:paraId="6D600C05" w14:textId="77777777" w:rsidR="00650ECA" w:rsidRPr="00650ECA" w:rsidRDefault="00650ECA" w:rsidP="00650ECA">
      <w:pPr>
        <w:ind w:left="708"/>
        <w:jc w:val="both"/>
        <w:rPr>
          <w:color w:val="000000" w:themeColor="text1"/>
          <w:sz w:val="24"/>
          <w:szCs w:val="24"/>
        </w:rPr>
      </w:pPr>
    </w:p>
    <w:p w14:paraId="7463B70D" w14:textId="5E78ECC3" w:rsidR="002C4DEC" w:rsidRPr="00650ECA" w:rsidRDefault="00065310" w:rsidP="00650ECA">
      <w:pPr>
        <w:pStyle w:val="Prrafodelista"/>
        <w:numPr>
          <w:ilvl w:val="0"/>
          <w:numId w:val="18"/>
        </w:numPr>
        <w:jc w:val="both"/>
        <w:rPr>
          <w:color w:val="000000" w:themeColor="text1"/>
          <w:sz w:val="24"/>
          <w:szCs w:val="24"/>
        </w:rPr>
      </w:pPr>
      <w:r w:rsidRPr="00650ECA">
        <w:rPr>
          <w:rStyle w:val="Textoennegrita"/>
          <w:color w:val="000000" w:themeColor="text1"/>
          <w:sz w:val="24"/>
          <w:szCs w:val="24"/>
        </w:rPr>
        <w:t>Cuidado del medio ambiente</w:t>
      </w:r>
      <w:r w:rsidRPr="00650ECA">
        <w:rPr>
          <w:rStyle w:val="Textoennegrita"/>
          <w:b w:val="0"/>
          <w:color w:val="000000" w:themeColor="text1"/>
          <w:sz w:val="24"/>
          <w:szCs w:val="24"/>
        </w:rPr>
        <w:t>:</w:t>
      </w:r>
      <w:r w:rsidRPr="00650ECA">
        <w:rPr>
          <w:color w:val="000000" w:themeColor="text1"/>
          <w:sz w:val="24"/>
          <w:szCs w:val="24"/>
        </w:rPr>
        <w:t xml:space="preserve"> </w:t>
      </w:r>
      <w:r w:rsidR="00797B45" w:rsidRPr="00650ECA">
        <w:rPr>
          <w:color w:val="000000" w:themeColor="text1"/>
          <w:sz w:val="24"/>
          <w:szCs w:val="24"/>
        </w:rPr>
        <w:t xml:space="preserve">ALCAGÜETE SAS, </w:t>
      </w:r>
      <w:r w:rsidR="002C4DEC" w:rsidRPr="00650ECA">
        <w:rPr>
          <w:color w:val="000000" w:themeColor="text1"/>
          <w:sz w:val="24"/>
          <w:szCs w:val="24"/>
        </w:rPr>
        <w:t xml:space="preserve">ha aprobado una Política Ambiental de forma que la compañía vele por la protección y el respeto al medio ambiente, asegurando una mejora continua de su desempeño ambiental centrada en la identificación y control de sus impactos ambientales. </w:t>
      </w:r>
    </w:p>
    <w:p w14:paraId="3072526D" w14:textId="77777777" w:rsidR="002C4DEC" w:rsidRPr="00650ECA" w:rsidRDefault="002C4DEC" w:rsidP="00650ECA">
      <w:pPr>
        <w:jc w:val="both"/>
        <w:rPr>
          <w:color w:val="000000" w:themeColor="text1"/>
          <w:sz w:val="24"/>
          <w:szCs w:val="24"/>
        </w:rPr>
      </w:pPr>
    </w:p>
    <w:p w14:paraId="2CD0FE3C" w14:textId="7B7B80D7" w:rsidR="002C4DEC" w:rsidRPr="00650ECA" w:rsidRDefault="00797B45" w:rsidP="00650ECA">
      <w:pPr>
        <w:ind w:left="708"/>
        <w:jc w:val="both"/>
        <w:rPr>
          <w:color w:val="000000" w:themeColor="text1"/>
          <w:sz w:val="24"/>
          <w:szCs w:val="24"/>
        </w:rPr>
      </w:pPr>
      <w:r w:rsidRPr="00650ECA">
        <w:rPr>
          <w:color w:val="000000" w:themeColor="text1"/>
          <w:sz w:val="24"/>
          <w:szCs w:val="24"/>
        </w:rPr>
        <w:t>ALCAGÜETE SAS</w:t>
      </w:r>
      <w:r w:rsidR="002C4DEC" w:rsidRPr="00650ECA">
        <w:rPr>
          <w:color w:val="000000" w:themeColor="text1"/>
          <w:sz w:val="24"/>
          <w:szCs w:val="24"/>
        </w:rPr>
        <w:t xml:space="preserve"> considera la excelencia medioambiental como un valor fundamental de su cultura empresarial, por tal motivo esta política representa la piedra angular del sistema que da respuesta a las expectativas de las partes interesadas de </w:t>
      </w:r>
      <w:r w:rsidRPr="00650ECA">
        <w:rPr>
          <w:color w:val="000000" w:themeColor="text1"/>
          <w:sz w:val="24"/>
          <w:szCs w:val="24"/>
        </w:rPr>
        <w:t xml:space="preserve">ALCAGÜETE </w:t>
      </w:r>
      <w:r w:rsidR="00C0511C" w:rsidRPr="00650ECA">
        <w:rPr>
          <w:color w:val="000000" w:themeColor="text1"/>
          <w:sz w:val="24"/>
          <w:szCs w:val="24"/>
        </w:rPr>
        <w:t>SAS,</w:t>
      </w:r>
      <w:r w:rsidR="002C4DEC" w:rsidRPr="00650ECA">
        <w:rPr>
          <w:color w:val="000000" w:themeColor="text1"/>
          <w:sz w:val="24"/>
          <w:szCs w:val="24"/>
        </w:rPr>
        <w:t xml:space="preserve"> en relación con la preservación de medio ambiente y el total cumplimiento de la normatividad nacional legal vigente.</w:t>
      </w:r>
    </w:p>
    <w:p w14:paraId="68B60715" w14:textId="77777777" w:rsidR="002C4DEC" w:rsidRPr="00650ECA" w:rsidRDefault="002C4DEC" w:rsidP="00650ECA">
      <w:pPr>
        <w:jc w:val="both"/>
        <w:rPr>
          <w:color w:val="000000" w:themeColor="text1"/>
          <w:sz w:val="24"/>
          <w:szCs w:val="24"/>
        </w:rPr>
      </w:pPr>
    </w:p>
    <w:p w14:paraId="2A3A8ED1" w14:textId="436ECA2B" w:rsidR="002C4DEC" w:rsidRPr="00650ECA" w:rsidRDefault="002C4DEC" w:rsidP="00650ECA">
      <w:pPr>
        <w:ind w:left="708"/>
        <w:jc w:val="both"/>
        <w:rPr>
          <w:color w:val="000000" w:themeColor="text1"/>
          <w:sz w:val="24"/>
          <w:szCs w:val="24"/>
        </w:rPr>
      </w:pPr>
      <w:r w:rsidRPr="00650ECA">
        <w:rPr>
          <w:color w:val="000000" w:themeColor="text1"/>
          <w:sz w:val="24"/>
          <w:szCs w:val="24"/>
        </w:rPr>
        <w:t xml:space="preserve">La Política Ambiental de Alcagüete SAS establece los siguientes principios fundamentales: </w:t>
      </w:r>
    </w:p>
    <w:p w14:paraId="2385A7C4" w14:textId="77777777" w:rsidR="002C4DEC" w:rsidRPr="00650ECA" w:rsidRDefault="002C4DEC" w:rsidP="00650ECA">
      <w:pPr>
        <w:jc w:val="both"/>
        <w:rPr>
          <w:color w:val="000000" w:themeColor="text1"/>
          <w:sz w:val="24"/>
          <w:szCs w:val="24"/>
        </w:rPr>
      </w:pPr>
    </w:p>
    <w:p w14:paraId="5981DAC0" w14:textId="78DEBCB7" w:rsidR="002C4DEC" w:rsidRPr="00650ECA" w:rsidRDefault="002C4DEC" w:rsidP="00650ECA">
      <w:pPr>
        <w:pStyle w:val="Prrafodelista"/>
        <w:widowControl/>
        <w:numPr>
          <w:ilvl w:val="1"/>
          <w:numId w:val="18"/>
        </w:numPr>
        <w:autoSpaceDE/>
        <w:autoSpaceDN/>
        <w:spacing w:after="160" w:line="259" w:lineRule="auto"/>
        <w:contextualSpacing/>
        <w:jc w:val="both"/>
        <w:rPr>
          <w:b/>
          <w:color w:val="000000" w:themeColor="text1"/>
          <w:sz w:val="24"/>
          <w:szCs w:val="24"/>
        </w:rPr>
      </w:pPr>
      <w:r w:rsidRPr="00650ECA">
        <w:rPr>
          <w:b/>
          <w:color w:val="000000" w:themeColor="text1"/>
          <w:sz w:val="24"/>
          <w:szCs w:val="24"/>
        </w:rPr>
        <w:t>Respeto y cuidado del medio ambiente</w:t>
      </w:r>
    </w:p>
    <w:p w14:paraId="65B1DBB4" w14:textId="77777777" w:rsidR="002C4DEC" w:rsidRPr="00650ECA" w:rsidRDefault="002C4DEC" w:rsidP="00650ECA">
      <w:pPr>
        <w:ind w:left="708"/>
        <w:jc w:val="both"/>
        <w:rPr>
          <w:color w:val="000000" w:themeColor="text1"/>
          <w:sz w:val="24"/>
          <w:szCs w:val="24"/>
        </w:rPr>
      </w:pPr>
      <w:r w:rsidRPr="00650ECA">
        <w:rPr>
          <w:color w:val="000000" w:themeColor="text1"/>
          <w:sz w:val="24"/>
          <w:szCs w:val="24"/>
        </w:rPr>
        <w:t xml:space="preserve">Generar productos alimenticios de alta calidad a través de sus proveedores evitando afectaciones a medio ambiente, estableciendo un Sistema de Gestión Ambiental eficaz, que trabaja por una mejora continua mediante el cumplimiento de los requisitos y expectativas, considerando los criterios ambientales tanto en compras de materias primas y empaques, como en el desarrollo de productos, y distribución de los mismos, mitigando sus posibles impactos desde el control y seguimiento.  </w:t>
      </w:r>
    </w:p>
    <w:p w14:paraId="73466E11" w14:textId="77777777" w:rsidR="002C4DEC" w:rsidRPr="00650ECA" w:rsidRDefault="002C4DEC" w:rsidP="00650ECA">
      <w:pPr>
        <w:jc w:val="both"/>
        <w:rPr>
          <w:color w:val="000000" w:themeColor="text1"/>
          <w:sz w:val="24"/>
          <w:szCs w:val="24"/>
        </w:rPr>
      </w:pPr>
    </w:p>
    <w:p w14:paraId="6FF96EAB" w14:textId="77777777" w:rsidR="002C4DEC" w:rsidRPr="00650ECA" w:rsidRDefault="002C4DEC" w:rsidP="00650ECA">
      <w:pPr>
        <w:ind w:left="708"/>
        <w:jc w:val="both"/>
        <w:rPr>
          <w:color w:val="000000" w:themeColor="text1"/>
          <w:sz w:val="24"/>
          <w:szCs w:val="24"/>
        </w:rPr>
      </w:pPr>
      <w:r w:rsidRPr="00650ECA">
        <w:rPr>
          <w:color w:val="000000" w:themeColor="text1"/>
          <w:sz w:val="24"/>
          <w:szCs w:val="24"/>
        </w:rPr>
        <w:t xml:space="preserve">Previniendo la contaminación y minimizando el impacto real o potencial sobre el medio ambiente, implementando estrategias de mitigación a través de nuestras operaciones. </w:t>
      </w:r>
    </w:p>
    <w:p w14:paraId="4F1796EC" w14:textId="77777777" w:rsidR="002C4DEC" w:rsidRPr="00650ECA" w:rsidRDefault="002C4DEC" w:rsidP="00650ECA">
      <w:pPr>
        <w:jc w:val="both"/>
        <w:rPr>
          <w:color w:val="000000" w:themeColor="text1"/>
          <w:sz w:val="24"/>
          <w:szCs w:val="24"/>
        </w:rPr>
      </w:pPr>
    </w:p>
    <w:p w14:paraId="4737F59D" w14:textId="789BCA8C" w:rsidR="00650ECA" w:rsidRPr="00650ECA" w:rsidRDefault="00650ECA" w:rsidP="00650ECA">
      <w:pPr>
        <w:widowControl/>
        <w:autoSpaceDE/>
        <w:autoSpaceDN/>
        <w:spacing w:after="160" w:line="259" w:lineRule="auto"/>
        <w:ind w:left="720"/>
        <w:contextualSpacing/>
        <w:jc w:val="both"/>
        <w:rPr>
          <w:b/>
          <w:color w:val="000000" w:themeColor="text1"/>
          <w:sz w:val="24"/>
          <w:szCs w:val="24"/>
        </w:rPr>
      </w:pPr>
      <w:r>
        <w:rPr>
          <w:b/>
          <w:color w:val="000000" w:themeColor="text1"/>
          <w:sz w:val="24"/>
          <w:szCs w:val="24"/>
        </w:rPr>
        <w:t>3.1.</w:t>
      </w:r>
      <w:r w:rsidR="001034A5">
        <w:rPr>
          <w:b/>
          <w:color w:val="000000" w:themeColor="text1"/>
          <w:sz w:val="24"/>
          <w:szCs w:val="24"/>
        </w:rPr>
        <w:t>1.</w:t>
      </w:r>
      <w:r w:rsidR="001034A5" w:rsidRPr="00650ECA">
        <w:rPr>
          <w:b/>
          <w:color w:val="000000" w:themeColor="text1"/>
          <w:sz w:val="24"/>
          <w:szCs w:val="24"/>
        </w:rPr>
        <w:t xml:space="preserve"> Consumo</w:t>
      </w:r>
      <w:r w:rsidR="002C4DEC" w:rsidRPr="00650ECA">
        <w:rPr>
          <w:b/>
          <w:color w:val="000000" w:themeColor="text1"/>
          <w:sz w:val="24"/>
          <w:szCs w:val="24"/>
        </w:rPr>
        <w:t xml:space="preserve"> responsable </w:t>
      </w:r>
    </w:p>
    <w:p w14:paraId="44AD5CD2" w14:textId="2C30EA08" w:rsidR="00650ECA" w:rsidRPr="00650ECA" w:rsidRDefault="002C4DEC" w:rsidP="00650ECA">
      <w:pPr>
        <w:ind w:left="1068"/>
        <w:jc w:val="both"/>
        <w:rPr>
          <w:color w:val="000000" w:themeColor="text1"/>
          <w:sz w:val="24"/>
          <w:szCs w:val="24"/>
        </w:rPr>
      </w:pPr>
      <w:r w:rsidRPr="00650ECA">
        <w:rPr>
          <w:color w:val="000000" w:themeColor="text1"/>
          <w:sz w:val="24"/>
          <w:szCs w:val="24"/>
        </w:rPr>
        <w:t>Aplicando estrategias para fomentar el ahorro en el consumo de recursos hídricos y energéticos, impulsar la innovación de tecnologías más limpias, minimización en la generación de residuos, procurando la reducción el reciclaje y la reutilización y asegurando el tratamiento adecuado de residuo</w:t>
      </w:r>
      <w:r w:rsidR="00650ECA">
        <w:rPr>
          <w:color w:val="000000" w:themeColor="text1"/>
          <w:sz w:val="24"/>
          <w:szCs w:val="24"/>
        </w:rPr>
        <w:t>s</w:t>
      </w:r>
    </w:p>
    <w:p w14:paraId="2225EEBC" w14:textId="77777777" w:rsidR="002C4DEC" w:rsidRPr="00650ECA" w:rsidRDefault="002C4DEC" w:rsidP="00650ECA">
      <w:pPr>
        <w:jc w:val="both"/>
        <w:rPr>
          <w:color w:val="000000" w:themeColor="text1"/>
          <w:sz w:val="24"/>
          <w:szCs w:val="24"/>
        </w:rPr>
      </w:pPr>
    </w:p>
    <w:p w14:paraId="2444789E" w14:textId="10EE11BD" w:rsidR="002C4DEC" w:rsidRPr="00650ECA" w:rsidRDefault="00C0511C" w:rsidP="00650ECA">
      <w:pPr>
        <w:widowControl/>
        <w:autoSpaceDE/>
        <w:autoSpaceDN/>
        <w:spacing w:after="160" w:line="259" w:lineRule="auto"/>
        <w:ind w:firstLine="708"/>
        <w:contextualSpacing/>
        <w:jc w:val="both"/>
        <w:rPr>
          <w:b/>
          <w:color w:val="000000" w:themeColor="text1"/>
          <w:sz w:val="24"/>
          <w:szCs w:val="24"/>
        </w:rPr>
      </w:pPr>
      <w:r w:rsidRPr="00650ECA">
        <w:rPr>
          <w:b/>
          <w:color w:val="000000" w:themeColor="text1"/>
          <w:sz w:val="24"/>
          <w:szCs w:val="24"/>
        </w:rPr>
        <w:t>3.1.2</w:t>
      </w:r>
      <w:r w:rsidR="002C4DEC" w:rsidRPr="00650ECA">
        <w:rPr>
          <w:b/>
          <w:color w:val="000000" w:themeColor="text1"/>
          <w:sz w:val="24"/>
          <w:szCs w:val="24"/>
        </w:rPr>
        <w:t xml:space="preserve"> Cultura Interna</w:t>
      </w:r>
    </w:p>
    <w:p w14:paraId="71D40276" w14:textId="278865B6" w:rsidR="002C4DEC" w:rsidRPr="00650ECA" w:rsidRDefault="002C4DEC" w:rsidP="00650ECA">
      <w:pPr>
        <w:ind w:left="708"/>
        <w:jc w:val="both"/>
        <w:rPr>
          <w:color w:val="000000" w:themeColor="text1"/>
          <w:sz w:val="24"/>
          <w:szCs w:val="24"/>
        </w:rPr>
      </w:pPr>
      <w:r w:rsidRPr="00650ECA">
        <w:rPr>
          <w:color w:val="000000" w:themeColor="text1"/>
          <w:sz w:val="24"/>
          <w:szCs w:val="24"/>
        </w:rPr>
        <w:t xml:space="preserve">Garantizando los canales de comunicación, capacitando, informando y generando conciencia por el respeto de nuestro entorno, involucrando a todos quienes hacemos parte de </w:t>
      </w:r>
      <w:r w:rsidR="00C0511C" w:rsidRPr="00650ECA">
        <w:rPr>
          <w:color w:val="000000" w:themeColor="text1"/>
          <w:sz w:val="24"/>
          <w:szCs w:val="24"/>
        </w:rPr>
        <w:t>ALCAGÜETE SAS</w:t>
      </w:r>
      <w:r w:rsidRPr="00650ECA">
        <w:rPr>
          <w:color w:val="000000" w:themeColor="text1"/>
          <w:sz w:val="24"/>
          <w:szCs w:val="24"/>
        </w:rPr>
        <w:t xml:space="preserve">, en la implementación del Sistema de Gestión Ambiental. </w:t>
      </w:r>
    </w:p>
    <w:p w14:paraId="6D6F6A7E" w14:textId="77777777" w:rsidR="002C4DEC" w:rsidRPr="00650ECA" w:rsidRDefault="002C4DEC" w:rsidP="00650ECA">
      <w:pPr>
        <w:jc w:val="both"/>
        <w:rPr>
          <w:color w:val="000000" w:themeColor="text1"/>
          <w:sz w:val="24"/>
          <w:szCs w:val="24"/>
        </w:rPr>
      </w:pPr>
    </w:p>
    <w:p w14:paraId="155A3E79" w14:textId="09D40D87" w:rsidR="00650ECA" w:rsidRDefault="00650ECA" w:rsidP="00650ECA">
      <w:pPr>
        <w:pStyle w:val="Ttulo1"/>
        <w:keepNext/>
        <w:keepLines/>
        <w:widowControl/>
        <w:autoSpaceDE/>
        <w:autoSpaceDN/>
        <w:spacing w:before="360" w:after="360"/>
        <w:ind w:left="0" w:firstLine="0"/>
        <w:jc w:val="both"/>
        <w:rPr>
          <w:color w:val="000000" w:themeColor="text1"/>
        </w:rPr>
      </w:pPr>
      <w:bookmarkStart w:id="0" w:name="_Toc493701750"/>
    </w:p>
    <w:p w14:paraId="77D2931D" w14:textId="34AD3BC9" w:rsidR="002C4DEC" w:rsidRPr="00650ECA" w:rsidRDefault="00650ECA" w:rsidP="00650ECA">
      <w:pPr>
        <w:pStyle w:val="Ttulo1"/>
        <w:keepNext/>
        <w:keepLines/>
        <w:widowControl/>
        <w:autoSpaceDE/>
        <w:autoSpaceDN/>
        <w:spacing w:before="360" w:after="360"/>
        <w:jc w:val="both"/>
        <w:rPr>
          <w:b w:val="0"/>
          <w:color w:val="000000" w:themeColor="text1"/>
        </w:rPr>
      </w:pPr>
      <w:r>
        <w:rPr>
          <w:color w:val="000000" w:themeColor="text1"/>
        </w:rPr>
        <w:t xml:space="preserve">3.2 </w:t>
      </w:r>
      <w:r w:rsidR="00C0511C" w:rsidRPr="00650ECA">
        <w:rPr>
          <w:color w:val="000000" w:themeColor="text1"/>
        </w:rPr>
        <w:t xml:space="preserve">Manejo Ambiental de las </w:t>
      </w:r>
      <w:bookmarkEnd w:id="0"/>
      <w:r w:rsidRPr="00650ECA">
        <w:rPr>
          <w:color w:val="000000" w:themeColor="text1"/>
        </w:rPr>
        <w:t>Operaciones</w:t>
      </w:r>
      <w:r>
        <w:rPr>
          <w:b w:val="0"/>
          <w:color w:val="000000" w:themeColor="text1"/>
        </w:rPr>
        <w:t>:</w:t>
      </w:r>
      <w:r w:rsidRPr="00650ECA">
        <w:rPr>
          <w:b w:val="0"/>
          <w:color w:val="000000" w:themeColor="text1"/>
        </w:rPr>
        <w:t xml:space="preserve"> Considerando</w:t>
      </w:r>
      <w:r w:rsidR="002C4DEC" w:rsidRPr="00650ECA">
        <w:rPr>
          <w:b w:val="0"/>
          <w:color w:val="000000" w:themeColor="text1"/>
        </w:rPr>
        <w:t xml:space="preserve"> que el desarrollo de actividades de  </w:t>
      </w:r>
      <w:r w:rsidR="00C0511C" w:rsidRPr="00650ECA">
        <w:rPr>
          <w:b w:val="0"/>
          <w:color w:val="000000" w:themeColor="text1"/>
        </w:rPr>
        <w:t xml:space="preserve">ALCAGÜETE SAS </w:t>
      </w:r>
      <w:r w:rsidR="002C4DEC" w:rsidRPr="00650ECA">
        <w:rPr>
          <w:b w:val="0"/>
          <w:color w:val="000000" w:themeColor="text1"/>
        </w:rPr>
        <w:t xml:space="preserve"> y las de sus proveedores involucra procesos productivos de elaboración de productos alimenticios como barras de cereal, frutos secos, maní, galletas, mezclas y granolas, almacenamiento, actividades de mantenimiento, actividades administrativas, de logística y de servicios comunes que pueden generar alteración o cambio del medio ambiente, modificando el equilibrio ecológico, lo que se denomina impacto ambiental, se identifican a continuación los diferentes impactos que se pueden generar</w:t>
      </w:r>
      <w:r w:rsidR="00102BEB" w:rsidRPr="00650ECA">
        <w:rPr>
          <w:b w:val="0"/>
          <w:color w:val="000000" w:themeColor="text1"/>
        </w:rPr>
        <w:t>.</w:t>
      </w:r>
    </w:p>
    <w:p w14:paraId="6462BF83" w14:textId="7B6E0CF9" w:rsidR="002C4DEC" w:rsidRPr="00650ECA" w:rsidRDefault="002C4DEC" w:rsidP="00650ECA">
      <w:pPr>
        <w:ind w:left="838"/>
        <w:jc w:val="both"/>
        <w:rPr>
          <w:color w:val="000000" w:themeColor="text1"/>
          <w:sz w:val="24"/>
          <w:szCs w:val="24"/>
        </w:rPr>
      </w:pPr>
      <w:r w:rsidRPr="00650ECA">
        <w:rPr>
          <w:color w:val="000000" w:themeColor="text1"/>
          <w:sz w:val="24"/>
          <w:szCs w:val="24"/>
        </w:rPr>
        <w:t xml:space="preserve">Durante los procesos de producción, empaque, </w:t>
      </w:r>
      <w:r w:rsidR="00102BEB" w:rsidRPr="00650ECA">
        <w:rPr>
          <w:color w:val="000000" w:themeColor="text1"/>
          <w:sz w:val="24"/>
          <w:szCs w:val="24"/>
        </w:rPr>
        <w:t>re empaque</w:t>
      </w:r>
      <w:r w:rsidRPr="00650ECA">
        <w:rPr>
          <w:color w:val="000000" w:themeColor="text1"/>
          <w:sz w:val="24"/>
          <w:szCs w:val="24"/>
        </w:rPr>
        <w:t xml:space="preserve">, almacenamiento, logística y transporte, actividades administrativas y de servicios comunes se involucran aspectos ambientales como generación de residuos aprovechables (papel, cartón, plástico, lonas, metal, vidrio, orgánicos), generación de residuos no aprovechables (empaques con trazas de comida, mugre, barreduras con orgánicos, cartón y papel contaminado),  generación de residuos peligrosos y especiales, generación de residuos de aparatos eléctricos y electrónicos RAEE, generación de emisiones atmosféricas por fuentes de combustión externa (fuentes fijas), consumo de Papel, consumo de combustibles, generación de ruido por máquinas y equipos, consumo de agua (proceso productivo), consumo de energía eléctrica (proceso productivo: conexión de máquinas y equipos, uso de montacargas), (proceso administrativo: iluminación de los espacios, conexión de equipos de cómputo y oficina, energía empleada para apertura de puertas, horno microondas, cafetera, dispensadores de agua, neveras), vertimientos domésticos con descargas en el alcantarillado y vertimientos no domésticos con descarga al alcantarillado. </w:t>
      </w:r>
    </w:p>
    <w:p w14:paraId="25F3B96D" w14:textId="77777777" w:rsidR="00102BEB" w:rsidRPr="00650ECA" w:rsidRDefault="00102BEB" w:rsidP="00650ECA">
      <w:pPr>
        <w:pStyle w:val="NormalWeb"/>
        <w:spacing w:before="0" w:beforeAutospacing="0" w:after="0" w:afterAutospacing="0"/>
        <w:jc w:val="both"/>
        <w:rPr>
          <w:rFonts w:ascii="Arial" w:hAnsi="Arial" w:cs="Arial"/>
          <w:color w:val="000000" w:themeColor="text1"/>
          <w:lang w:val="es-ES"/>
        </w:rPr>
      </w:pPr>
    </w:p>
    <w:p w14:paraId="2B32AD52" w14:textId="53F3ED1E" w:rsidR="00102BEB" w:rsidRPr="00650ECA" w:rsidRDefault="00065310" w:rsidP="00650ECA">
      <w:pPr>
        <w:pStyle w:val="NormalWeb"/>
        <w:numPr>
          <w:ilvl w:val="0"/>
          <w:numId w:val="18"/>
        </w:numPr>
        <w:spacing w:before="0" w:beforeAutospacing="0" w:after="0" w:afterAutospacing="0"/>
        <w:jc w:val="both"/>
        <w:rPr>
          <w:rFonts w:ascii="Arial" w:hAnsi="Arial" w:cs="Arial"/>
          <w:color w:val="000000" w:themeColor="text1"/>
        </w:rPr>
      </w:pPr>
      <w:r w:rsidRPr="00650ECA">
        <w:rPr>
          <w:rStyle w:val="Textoennegrita"/>
          <w:rFonts w:ascii="Arial" w:hAnsi="Arial" w:cs="Arial"/>
          <w:color w:val="000000" w:themeColor="text1"/>
        </w:rPr>
        <w:t>Prácticas laborales justas:</w:t>
      </w:r>
      <w:r w:rsidRPr="00650ECA">
        <w:rPr>
          <w:rFonts w:ascii="Arial" w:hAnsi="Arial" w:cs="Arial"/>
          <w:color w:val="000000" w:themeColor="text1"/>
        </w:rPr>
        <w:t xml:space="preserve"> Compromiso con la creación de un entorno laboral seguro, justo e inclusivo, que promueva la diversidad, la igualdad de oportunidades, el desarrollo profesional y el bienestar de los empleados</w:t>
      </w:r>
      <w:r w:rsidR="00102BEB" w:rsidRPr="00650ECA">
        <w:rPr>
          <w:rFonts w:ascii="Arial" w:hAnsi="Arial" w:cs="Arial"/>
          <w:color w:val="000000" w:themeColor="text1"/>
        </w:rPr>
        <w:t>.</w:t>
      </w:r>
    </w:p>
    <w:p w14:paraId="4FDC71BD" w14:textId="77777777" w:rsidR="00102BEB" w:rsidRPr="00650ECA" w:rsidRDefault="00102BEB" w:rsidP="00650ECA">
      <w:pPr>
        <w:pStyle w:val="NormalWeb"/>
        <w:spacing w:before="0" w:beforeAutospacing="0" w:after="0" w:afterAutospacing="0"/>
        <w:ind w:left="360"/>
        <w:jc w:val="both"/>
        <w:rPr>
          <w:rFonts w:ascii="Arial" w:hAnsi="Arial" w:cs="Arial"/>
          <w:color w:val="000000" w:themeColor="text1"/>
        </w:rPr>
      </w:pPr>
    </w:p>
    <w:p w14:paraId="62749192" w14:textId="69ADD084" w:rsidR="00102BEB" w:rsidRPr="00650ECA" w:rsidRDefault="00065310" w:rsidP="00650ECA">
      <w:pPr>
        <w:pStyle w:val="NormalWeb"/>
        <w:numPr>
          <w:ilvl w:val="0"/>
          <w:numId w:val="18"/>
        </w:numPr>
        <w:spacing w:before="0" w:beforeAutospacing="0" w:after="0" w:afterAutospacing="0"/>
        <w:jc w:val="both"/>
        <w:rPr>
          <w:rFonts w:ascii="Arial" w:hAnsi="Arial" w:cs="Arial"/>
          <w:color w:val="000000" w:themeColor="text1"/>
        </w:rPr>
      </w:pPr>
      <w:r w:rsidRPr="00650ECA">
        <w:rPr>
          <w:rStyle w:val="Textoennegrita"/>
          <w:rFonts w:ascii="Arial" w:hAnsi="Arial" w:cs="Arial"/>
          <w:color w:val="000000" w:themeColor="text1"/>
        </w:rPr>
        <w:t>Relaciones con los stakeholders:</w:t>
      </w:r>
      <w:r w:rsidRPr="00650ECA">
        <w:rPr>
          <w:rFonts w:ascii="Arial" w:hAnsi="Arial" w:cs="Arial"/>
          <w:color w:val="000000" w:themeColor="text1"/>
        </w:rPr>
        <w:t xml:space="preserve"> Compromiso con el diálogo y la colaboración con los diferentes grupos de interés, como empleados, clientes, proveedores, comunidades locales y sociedad en general</w:t>
      </w:r>
      <w:r w:rsidR="00102BEB" w:rsidRPr="00650ECA">
        <w:rPr>
          <w:rFonts w:ascii="Arial" w:hAnsi="Arial" w:cs="Arial"/>
          <w:color w:val="000000" w:themeColor="text1"/>
        </w:rPr>
        <w:t>.</w:t>
      </w:r>
    </w:p>
    <w:p w14:paraId="09B7520A" w14:textId="77777777" w:rsidR="00102BEB" w:rsidRPr="00650ECA" w:rsidRDefault="00102BEB" w:rsidP="00650ECA">
      <w:pPr>
        <w:pStyle w:val="NormalWeb"/>
        <w:spacing w:before="0" w:beforeAutospacing="0" w:after="0" w:afterAutospacing="0"/>
        <w:jc w:val="both"/>
        <w:rPr>
          <w:rFonts w:ascii="Arial" w:hAnsi="Arial" w:cs="Arial"/>
          <w:color w:val="000000" w:themeColor="text1"/>
        </w:rPr>
      </w:pPr>
    </w:p>
    <w:p w14:paraId="29940591" w14:textId="3A6E9E20" w:rsidR="00065310" w:rsidRPr="00650ECA" w:rsidRDefault="00065310" w:rsidP="001034A5">
      <w:pPr>
        <w:pStyle w:val="NormalWeb"/>
        <w:numPr>
          <w:ilvl w:val="0"/>
          <w:numId w:val="18"/>
        </w:numPr>
        <w:spacing w:before="0" w:beforeAutospacing="0" w:after="0" w:afterAutospacing="0"/>
        <w:jc w:val="both"/>
        <w:rPr>
          <w:rFonts w:ascii="Arial" w:hAnsi="Arial" w:cs="Arial"/>
          <w:color w:val="000000" w:themeColor="text1"/>
        </w:rPr>
      </w:pPr>
      <w:r w:rsidRPr="00650ECA">
        <w:rPr>
          <w:rStyle w:val="Textoennegrita"/>
          <w:rFonts w:ascii="Arial" w:hAnsi="Arial" w:cs="Arial"/>
          <w:color w:val="000000" w:themeColor="text1"/>
        </w:rPr>
        <w:t>Transparencia y rendición de cuentas</w:t>
      </w:r>
      <w:r w:rsidRPr="00650ECA">
        <w:rPr>
          <w:rStyle w:val="Textoennegrita"/>
          <w:rFonts w:ascii="Arial" w:hAnsi="Arial" w:cs="Arial"/>
          <w:b w:val="0"/>
          <w:color w:val="000000" w:themeColor="text1"/>
        </w:rPr>
        <w:t>:</w:t>
      </w:r>
      <w:r w:rsidRPr="00650ECA">
        <w:rPr>
          <w:rFonts w:ascii="Arial" w:hAnsi="Arial" w:cs="Arial"/>
          <w:color w:val="000000" w:themeColor="text1"/>
        </w:rPr>
        <w:t xml:space="preserve"> Compromiso con la transparencia en la comunicación de información relevante sobre las actividades, desempeño y impacto social y ambiental de la empresa, así como la rendición de cuentas por sus acciones.</w:t>
      </w:r>
      <w:r w:rsidR="001034A5">
        <w:rPr>
          <w:rFonts w:ascii="Arial" w:hAnsi="Arial" w:cs="Arial"/>
          <w:color w:val="000000" w:themeColor="text1"/>
        </w:rPr>
        <w:br/>
      </w:r>
      <w:r w:rsidR="001034A5">
        <w:rPr>
          <w:rFonts w:ascii="Arial" w:hAnsi="Arial" w:cs="Arial"/>
          <w:color w:val="000000" w:themeColor="text1"/>
        </w:rPr>
        <w:br/>
      </w:r>
    </w:p>
    <w:p w14:paraId="62A6959B" w14:textId="77777777" w:rsidR="00650ECA" w:rsidRPr="00650ECA" w:rsidRDefault="00650ECA" w:rsidP="00650ECA">
      <w:pPr>
        <w:pStyle w:val="Prrafodelista"/>
        <w:jc w:val="both"/>
        <w:rPr>
          <w:color w:val="000000" w:themeColor="text1"/>
          <w:sz w:val="24"/>
          <w:szCs w:val="24"/>
        </w:rPr>
      </w:pPr>
    </w:p>
    <w:p w14:paraId="4EF330DE" w14:textId="2BC636CC" w:rsidR="00650ECA" w:rsidRPr="00650ECA" w:rsidRDefault="00650ECA" w:rsidP="00650ECA">
      <w:pPr>
        <w:pStyle w:val="NormalWeb"/>
        <w:spacing w:before="0" w:beforeAutospacing="0" w:after="0" w:afterAutospacing="0"/>
        <w:jc w:val="both"/>
        <w:rPr>
          <w:rFonts w:ascii="Arial" w:hAnsi="Arial" w:cs="Arial"/>
          <w:color w:val="000000" w:themeColor="text1"/>
        </w:rPr>
      </w:pPr>
    </w:p>
    <w:p w14:paraId="6E3101A1" w14:textId="69186F4D" w:rsidR="00650ECA" w:rsidRPr="00650ECA" w:rsidRDefault="00650ECA" w:rsidP="00650ECA">
      <w:pPr>
        <w:pStyle w:val="NormalWeb"/>
        <w:spacing w:before="0" w:beforeAutospacing="0" w:after="0" w:afterAutospacing="0"/>
        <w:jc w:val="both"/>
        <w:rPr>
          <w:rFonts w:ascii="Arial" w:hAnsi="Arial" w:cs="Arial"/>
          <w:color w:val="000000" w:themeColor="text1"/>
        </w:rPr>
      </w:pPr>
    </w:p>
    <w:p w14:paraId="6972D9E0" w14:textId="761D5EB5" w:rsidR="00650ECA" w:rsidRPr="00650ECA" w:rsidRDefault="00650ECA" w:rsidP="00650ECA">
      <w:pPr>
        <w:pStyle w:val="NormalWeb"/>
        <w:spacing w:before="0" w:beforeAutospacing="0" w:after="0" w:afterAutospacing="0"/>
        <w:jc w:val="both"/>
        <w:rPr>
          <w:rFonts w:ascii="Arial" w:hAnsi="Arial" w:cs="Arial"/>
          <w:color w:val="000000" w:themeColor="text1"/>
        </w:rPr>
      </w:pPr>
    </w:p>
    <w:p w14:paraId="5FC73B04" w14:textId="77777777" w:rsidR="00650ECA" w:rsidRPr="00650ECA" w:rsidRDefault="00650ECA" w:rsidP="00650ECA">
      <w:pPr>
        <w:pStyle w:val="NormalWeb"/>
        <w:spacing w:before="0" w:beforeAutospacing="0" w:after="0" w:afterAutospacing="0"/>
        <w:ind w:left="360"/>
        <w:jc w:val="both"/>
        <w:rPr>
          <w:rFonts w:ascii="Arial" w:hAnsi="Arial" w:cs="Arial"/>
          <w:color w:val="000000" w:themeColor="text1"/>
        </w:rPr>
      </w:pPr>
    </w:p>
    <w:p w14:paraId="2EA65615" w14:textId="792FECA1" w:rsidR="00065310" w:rsidRPr="00650ECA" w:rsidRDefault="00065310" w:rsidP="00650ECA">
      <w:pPr>
        <w:pStyle w:val="NormalWeb"/>
        <w:numPr>
          <w:ilvl w:val="0"/>
          <w:numId w:val="18"/>
        </w:numPr>
        <w:spacing w:before="0" w:beforeAutospacing="0" w:after="0" w:afterAutospacing="0"/>
        <w:jc w:val="both"/>
        <w:rPr>
          <w:rFonts w:ascii="Arial" w:hAnsi="Arial" w:cs="Arial"/>
          <w:color w:val="000000" w:themeColor="text1"/>
        </w:rPr>
      </w:pPr>
      <w:r w:rsidRPr="00650ECA">
        <w:rPr>
          <w:rStyle w:val="Textoennegrita"/>
          <w:rFonts w:ascii="Arial" w:hAnsi="Arial" w:cs="Arial"/>
          <w:color w:val="000000" w:themeColor="text1"/>
        </w:rPr>
        <w:t>Contribución a la comunidad:</w:t>
      </w:r>
      <w:r w:rsidRPr="00650ECA">
        <w:rPr>
          <w:rFonts w:ascii="Arial" w:hAnsi="Arial" w:cs="Arial"/>
          <w:color w:val="000000" w:themeColor="text1"/>
        </w:rPr>
        <w:t xml:space="preserve"> Compromiso con el apoyo y la inversión en iniciativas que beneficien a las comunidades locales y contribuyan al desarrollo social y económico.</w:t>
      </w:r>
    </w:p>
    <w:p w14:paraId="3E95D712" w14:textId="77777777" w:rsidR="00650ECA" w:rsidRPr="00650ECA" w:rsidRDefault="00650ECA" w:rsidP="00650ECA">
      <w:pPr>
        <w:pStyle w:val="NormalWeb"/>
        <w:spacing w:before="0" w:beforeAutospacing="0" w:after="0" w:afterAutospacing="0"/>
        <w:jc w:val="both"/>
        <w:rPr>
          <w:rFonts w:ascii="Arial" w:hAnsi="Arial" w:cs="Arial"/>
          <w:color w:val="000000" w:themeColor="text1"/>
        </w:rPr>
      </w:pPr>
    </w:p>
    <w:p w14:paraId="3E413C45" w14:textId="77777777" w:rsidR="00065310" w:rsidRPr="00650ECA" w:rsidRDefault="00065310" w:rsidP="00650ECA">
      <w:pPr>
        <w:pStyle w:val="NormalWeb"/>
        <w:numPr>
          <w:ilvl w:val="0"/>
          <w:numId w:val="18"/>
        </w:numPr>
        <w:spacing w:before="0" w:beforeAutospacing="0" w:after="0" w:afterAutospacing="0"/>
        <w:jc w:val="both"/>
        <w:rPr>
          <w:rFonts w:ascii="Arial" w:hAnsi="Arial" w:cs="Arial"/>
          <w:color w:val="000000" w:themeColor="text1"/>
        </w:rPr>
      </w:pPr>
      <w:r w:rsidRPr="00650ECA">
        <w:rPr>
          <w:rStyle w:val="Textoennegrita"/>
          <w:rFonts w:ascii="Arial" w:hAnsi="Arial" w:cs="Arial"/>
          <w:color w:val="000000" w:themeColor="text1"/>
        </w:rPr>
        <w:t>Gestión de riesgos y cumplimiento legal:</w:t>
      </w:r>
      <w:r w:rsidRPr="00650ECA">
        <w:rPr>
          <w:rFonts w:ascii="Arial" w:hAnsi="Arial" w:cs="Arial"/>
          <w:color w:val="000000" w:themeColor="text1"/>
        </w:rPr>
        <w:t xml:space="preserve"> Compromiso con la identificación, evaluación y gestión de riesgos sociales, ambientales y éticos, así como el cumplimiento de las leyes y regulaciones aplicables.</w:t>
      </w:r>
    </w:p>
    <w:p w14:paraId="42B1877D" w14:textId="77777777" w:rsidR="00CF2D2D" w:rsidRPr="00650ECA" w:rsidRDefault="00CF2D2D" w:rsidP="00650ECA">
      <w:pPr>
        <w:jc w:val="both"/>
        <w:rPr>
          <w:color w:val="000000" w:themeColor="text1"/>
          <w:sz w:val="24"/>
          <w:szCs w:val="24"/>
        </w:rPr>
      </w:pPr>
    </w:p>
    <w:sectPr w:rsidR="00CF2D2D" w:rsidRPr="00650ECA" w:rsidSect="00087743">
      <w:headerReference w:type="default" r:id="rId7"/>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7C10" w14:textId="77777777" w:rsidR="0000678B" w:rsidRDefault="0000678B" w:rsidP="004E7AB7">
      <w:r>
        <w:separator/>
      </w:r>
    </w:p>
  </w:endnote>
  <w:endnote w:type="continuationSeparator" w:id="0">
    <w:p w14:paraId="24731632" w14:textId="77777777" w:rsidR="0000678B" w:rsidRDefault="0000678B" w:rsidP="004E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A892" w14:textId="77777777" w:rsidR="0000678B" w:rsidRDefault="0000678B" w:rsidP="004E7AB7">
      <w:r>
        <w:separator/>
      </w:r>
    </w:p>
  </w:footnote>
  <w:footnote w:type="continuationSeparator" w:id="0">
    <w:p w14:paraId="268D65D0" w14:textId="77777777" w:rsidR="0000678B" w:rsidRDefault="0000678B" w:rsidP="004E7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07EC" w14:textId="10932E16" w:rsidR="00087743" w:rsidRDefault="00087743">
    <w:pPr>
      <w:pStyle w:val="Encabezado"/>
    </w:pPr>
    <w:r>
      <w:rPr>
        <w:noProof/>
      </w:rPr>
      <w:drawing>
        <wp:anchor distT="0" distB="0" distL="114300" distR="114300" simplePos="0" relativeHeight="251659264" behindDoc="0" locked="0" layoutInCell="1" allowOverlap="1" wp14:anchorId="4C097175" wp14:editId="3986093F">
          <wp:simplePos x="0" y="0"/>
          <wp:positionH relativeFrom="column">
            <wp:posOffset>-930666</wp:posOffset>
          </wp:positionH>
          <wp:positionV relativeFrom="paragraph">
            <wp:posOffset>-362292</wp:posOffset>
          </wp:positionV>
          <wp:extent cx="2777504" cy="1151792"/>
          <wp:effectExtent l="0" t="0" r="3810" b="4445"/>
          <wp:wrapNone/>
          <wp:docPr id="201013128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guete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5478" cy="1171686"/>
                  </a:xfrm>
                  <a:prstGeom prst="rect">
                    <a:avLst/>
                  </a:prstGeom>
                </pic:spPr>
              </pic:pic>
            </a:graphicData>
          </a:graphic>
          <wp14:sizeRelH relativeFrom="page">
            <wp14:pctWidth>0</wp14:pctWidth>
          </wp14:sizeRelH>
          <wp14:sizeRelV relativeFrom="page">
            <wp14:pctHeight>0</wp14:pctHeight>
          </wp14:sizeRelV>
        </wp:anchor>
      </w:drawing>
    </w:r>
  </w:p>
  <w:p w14:paraId="79510C83" w14:textId="77777777" w:rsidR="00E41C1E" w:rsidRDefault="00E41C1E">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A7B"/>
    <w:multiLevelType w:val="hybridMultilevel"/>
    <w:tmpl w:val="2478784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4F43641"/>
    <w:multiLevelType w:val="hybridMultilevel"/>
    <w:tmpl w:val="9BA0F6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7ED526A"/>
    <w:multiLevelType w:val="multilevel"/>
    <w:tmpl w:val="F5C4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810BA"/>
    <w:multiLevelType w:val="multilevel"/>
    <w:tmpl w:val="A81A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E0BAD"/>
    <w:multiLevelType w:val="multilevel"/>
    <w:tmpl w:val="3B8C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457B2"/>
    <w:multiLevelType w:val="hybridMultilevel"/>
    <w:tmpl w:val="842CF1EE"/>
    <w:lvl w:ilvl="0" w:tplc="B0C27B60">
      <w:start w:val="4"/>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F924110"/>
    <w:multiLevelType w:val="hybridMultilevel"/>
    <w:tmpl w:val="0186BC66"/>
    <w:lvl w:ilvl="0" w:tplc="D4848CEE">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17223F9"/>
    <w:multiLevelType w:val="multilevel"/>
    <w:tmpl w:val="5DC2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197154"/>
    <w:multiLevelType w:val="hybridMultilevel"/>
    <w:tmpl w:val="EFA8942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D1B0689"/>
    <w:multiLevelType w:val="hybridMultilevel"/>
    <w:tmpl w:val="E2AEC05C"/>
    <w:lvl w:ilvl="0" w:tplc="F3A46010">
      <w:start w:val="1"/>
      <w:numFmt w:val="bullet"/>
      <w:lvlText w:val="-"/>
      <w:lvlJc w:val="left"/>
      <w:pPr>
        <w:ind w:left="720" w:hanging="360"/>
      </w:pPr>
      <w:rPr>
        <w:rFonts w:ascii="Calibri" w:eastAsia="Arial"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3F231B4"/>
    <w:multiLevelType w:val="hybridMultilevel"/>
    <w:tmpl w:val="F0080F6A"/>
    <w:lvl w:ilvl="0" w:tplc="15A6020C">
      <w:start w:val="1"/>
      <w:numFmt w:val="bullet"/>
      <w:lvlText w:val="-"/>
      <w:lvlJc w:val="left"/>
      <w:pPr>
        <w:ind w:left="1778" w:hanging="360"/>
      </w:pPr>
      <w:rPr>
        <w:rFonts w:ascii="Wide Latin" w:hAnsi="Wide Latin" w:hint="default"/>
        <w:b w:val="0"/>
        <w:i w:val="0"/>
        <w:color w:val="0070C0"/>
        <w:sz w:val="16"/>
        <w:szCs w:val="16"/>
        <w:effect w:val="none"/>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56263A64"/>
    <w:multiLevelType w:val="hybridMultilevel"/>
    <w:tmpl w:val="FF342D2A"/>
    <w:lvl w:ilvl="0" w:tplc="6FD4B40E">
      <w:start w:val="1"/>
      <w:numFmt w:val="decimal"/>
      <w:lvlText w:val="%1."/>
      <w:lvlJc w:val="left"/>
      <w:pPr>
        <w:ind w:left="660" w:hanging="442"/>
      </w:pPr>
      <w:rPr>
        <w:rFonts w:ascii="Arial" w:eastAsia="Arial" w:hAnsi="Arial" w:cs="Arial" w:hint="default"/>
        <w:spacing w:val="0"/>
        <w:w w:val="99"/>
        <w:sz w:val="24"/>
        <w:szCs w:val="24"/>
        <w:lang w:val="es-ES" w:eastAsia="en-US" w:bidi="ar-SA"/>
      </w:rPr>
    </w:lvl>
    <w:lvl w:ilvl="1" w:tplc="FF9466C4">
      <w:start w:val="1"/>
      <w:numFmt w:val="decimal"/>
      <w:lvlText w:val="%2."/>
      <w:lvlJc w:val="left"/>
      <w:pPr>
        <w:ind w:left="939" w:hanging="360"/>
      </w:pPr>
      <w:rPr>
        <w:rFonts w:asciiTheme="minorHAnsi" w:eastAsia="Arial" w:hAnsiTheme="minorHAnsi" w:cstheme="minorHAnsi" w:hint="default"/>
        <w:b/>
        <w:bCs/>
        <w:spacing w:val="0"/>
        <w:w w:val="99"/>
        <w:sz w:val="22"/>
        <w:szCs w:val="22"/>
        <w:lang w:val="es-ES" w:eastAsia="en-US" w:bidi="ar-SA"/>
      </w:rPr>
    </w:lvl>
    <w:lvl w:ilvl="2" w:tplc="36D01FFC">
      <w:numFmt w:val="bullet"/>
      <w:lvlText w:val=""/>
      <w:lvlJc w:val="left"/>
      <w:pPr>
        <w:ind w:left="1635" w:hanging="567"/>
      </w:pPr>
      <w:rPr>
        <w:rFonts w:ascii="Symbol" w:eastAsia="Symbol" w:hAnsi="Symbol" w:cs="Symbol" w:hint="default"/>
        <w:w w:val="99"/>
        <w:sz w:val="24"/>
        <w:szCs w:val="24"/>
        <w:lang w:val="es-ES" w:eastAsia="en-US" w:bidi="ar-SA"/>
      </w:rPr>
    </w:lvl>
    <w:lvl w:ilvl="3" w:tplc="608C797E">
      <w:numFmt w:val="bullet"/>
      <w:lvlText w:val="•"/>
      <w:lvlJc w:val="left"/>
      <w:pPr>
        <w:ind w:left="2595" w:hanging="567"/>
      </w:pPr>
      <w:rPr>
        <w:rFonts w:hint="default"/>
        <w:lang w:val="es-ES" w:eastAsia="en-US" w:bidi="ar-SA"/>
      </w:rPr>
    </w:lvl>
    <w:lvl w:ilvl="4" w:tplc="54D27982">
      <w:numFmt w:val="bullet"/>
      <w:lvlText w:val="•"/>
      <w:lvlJc w:val="left"/>
      <w:pPr>
        <w:ind w:left="3550" w:hanging="567"/>
      </w:pPr>
      <w:rPr>
        <w:rFonts w:hint="default"/>
        <w:lang w:val="es-ES" w:eastAsia="en-US" w:bidi="ar-SA"/>
      </w:rPr>
    </w:lvl>
    <w:lvl w:ilvl="5" w:tplc="DBCEFE08">
      <w:numFmt w:val="bullet"/>
      <w:lvlText w:val="•"/>
      <w:lvlJc w:val="left"/>
      <w:pPr>
        <w:ind w:left="4505" w:hanging="567"/>
      </w:pPr>
      <w:rPr>
        <w:rFonts w:hint="default"/>
        <w:lang w:val="es-ES" w:eastAsia="en-US" w:bidi="ar-SA"/>
      </w:rPr>
    </w:lvl>
    <w:lvl w:ilvl="6" w:tplc="10AE3EBE">
      <w:numFmt w:val="bullet"/>
      <w:lvlText w:val="•"/>
      <w:lvlJc w:val="left"/>
      <w:pPr>
        <w:ind w:left="5460" w:hanging="567"/>
      </w:pPr>
      <w:rPr>
        <w:rFonts w:hint="default"/>
        <w:lang w:val="es-ES" w:eastAsia="en-US" w:bidi="ar-SA"/>
      </w:rPr>
    </w:lvl>
    <w:lvl w:ilvl="7" w:tplc="8BA22F9A">
      <w:numFmt w:val="bullet"/>
      <w:lvlText w:val="•"/>
      <w:lvlJc w:val="left"/>
      <w:pPr>
        <w:ind w:left="6415" w:hanging="567"/>
      </w:pPr>
      <w:rPr>
        <w:rFonts w:hint="default"/>
        <w:lang w:val="es-ES" w:eastAsia="en-US" w:bidi="ar-SA"/>
      </w:rPr>
    </w:lvl>
    <w:lvl w:ilvl="8" w:tplc="7A2ED864">
      <w:numFmt w:val="bullet"/>
      <w:lvlText w:val="•"/>
      <w:lvlJc w:val="left"/>
      <w:pPr>
        <w:ind w:left="7370" w:hanging="567"/>
      </w:pPr>
      <w:rPr>
        <w:rFonts w:hint="default"/>
        <w:lang w:val="es-ES" w:eastAsia="en-US" w:bidi="ar-SA"/>
      </w:rPr>
    </w:lvl>
  </w:abstractNum>
  <w:abstractNum w:abstractNumId="12" w15:restartNumberingAfterBreak="0">
    <w:nsid w:val="5E9538FE"/>
    <w:multiLevelType w:val="multilevel"/>
    <w:tmpl w:val="488C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2A6355"/>
    <w:multiLevelType w:val="multilevel"/>
    <w:tmpl w:val="0004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87C93"/>
    <w:multiLevelType w:val="multilevel"/>
    <w:tmpl w:val="79A66BF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D82064"/>
    <w:multiLevelType w:val="hybridMultilevel"/>
    <w:tmpl w:val="BCD02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6F30ED5"/>
    <w:multiLevelType w:val="multilevel"/>
    <w:tmpl w:val="8C96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2755FF"/>
    <w:multiLevelType w:val="hybridMultilevel"/>
    <w:tmpl w:val="D4AC47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7CBF088C"/>
    <w:multiLevelType w:val="hybridMultilevel"/>
    <w:tmpl w:val="6B5AD3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DDB1932"/>
    <w:multiLevelType w:val="multilevel"/>
    <w:tmpl w:val="9500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3200393">
    <w:abstractNumId w:val="11"/>
  </w:num>
  <w:num w:numId="2" w16cid:durableId="980381853">
    <w:abstractNumId w:val="17"/>
  </w:num>
  <w:num w:numId="3" w16cid:durableId="285700129">
    <w:abstractNumId w:val="1"/>
  </w:num>
  <w:num w:numId="4" w16cid:durableId="1911845534">
    <w:abstractNumId w:val="15"/>
  </w:num>
  <w:num w:numId="5" w16cid:durableId="1385518292">
    <w:abstractNumId w:val="9"/>
  </w:num>
  <w:num w:numId="6" w16cid:durableId="1895852148">
    <w:abstractNumId w:val="19"/>
  </w:num>
  <w:num w:numId="7" w16cid:durableId="1219626629">
    <w:abstractNumId w:val="10"/>
  </w:num>
  <w:num w:numId="8" w16cid:durableId="1933780785">
    <w:abstractNumId w:val="18"/>
  </w:num>
  <w:num w:numId="9" w16cid:durableId="2101556541">
    <w:abstractNumId w:val="2"/>
  </w:num>
  <w:num w:numId="10" w16cid:durableId="1381049861">
    <w:abstractNumId w:val="12"/>
  </w:num>
  <w:num w:numId="11" w16cid:durableId="615450325">
    <w:abstractNumId w:val="3"/>
  </w:num>
  <w:num w:numId="12" w16cid:durableId="670449916">
    <w:abstractNumId w:val="4"/>
  </w:num>
  <w:num w:numId="13" w16cid:durableId="409543739">
    <w:abstractNumId w:val="16"/>
  </w:num>
  <w:num w:numId="14" w16cid:durableId="1880169621">
    <w:abstractNumId w:val="13"/>
  </w:num>
  <w:num w:numId="15" w16cid:durableId="1040328153">
    <w:abstractNumId w:val="7"/>
  </w:num>
  <w:num w:numId="16" w16cid:durableId="1718121599">
    <w:abstractNumId w:val="8"/>
  </w:num>
  <w:num w:numId="17" w16cid:durableId="1651245700">
    <w:abstractNumId w:val="6"/>
  </w:num>
  <w:num w:numId="18" w16cid:durableId="516386414">
    <w:abstractNumId w:val="14"/>
  </w:num>
  <w:num w:numId="19" w16cid:durableId="1934122644">
    <w:abstractNumId w:val="0"/>
  </w:num>
  <w:num w:numId="20" w16cid:durableId="80486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B7"/>
    <w:rsid w:val="0000678B"/>
    <w:rsid w:val="00065310"/>
    <w:rsid w:val="00087743"/>
    <w:rsid w:val="00102BEB"/>
    <w:rsid w:val="001034A5"/>
    <w:rsid w:val="002C4DEC"/>
    <w:rsid w:val="00326601"/>
    <w:rsid w:val="003545E7"/>
    <w:rsid w:val="003E1540"/>
    <w:rsid w:val="004E7AB7"/>
    <w:rsid w:val="00622B66"/>
    <w:rsid w:val="00625375"/>
    <w:rsid w:val="00646C8C"/>
    <w:rsid w:val="00650ECA"/>
    <w:rsid w:val="00655F0F"/>
    <w:rsid w:val="00665D90"/>
    <w:rsid w:val="006669E5"/>
    <w:rsid w:val="00693E56"/>
    <w:rsid w:val="00795F3B"/>
    <w:rsid w:val="00797B45"/>
    <w:rsid w:val="007A01FB"/>
    <w:rsid w:val="007B54DC"/>
    <w:rsid w:val="007B7913"/>
    <w:rsid w:val="007D7CD1"/>
    <w:rsid w:val="009858AB"/>
    <w:rsid w:val="00997243"/>
    <w:rsid w:val="00B54514"/>
    <w:rsid w:val="00BD3AA7"/>
    <w:rsid w:val="00C0511C"/>
    <w:rsid w:val="00CC5329"/>
    <w:rsid w:val="00CF2D2D"/>
    <w:rsid w:val="00DB40AE"/>
    <w:rsid w:val="00E41C1E"/>
    <w:rsid w:val="00F47D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1B80"/>
  <w15:chartTrackingRefBased/>
  <w15:docId w15:val="{51FF3AB8-329D-417F-8E87-699564D7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AB7"/>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9"/>
    <w:qFormat/>
    <w:rsid w:val="004E7AB7"/>
    <w:pPr>
      <w:spacing w:before="92"/>
      <w:ind w:left="939" w:hanging="36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7AB7"/>
    <w:rPr>
      <w:rFonts w:ascii="Arial" w:eastAsia="Arial" w:hAnsi="Arial" w:cs="Arial"/>
      <w:b/>
      <w:bCs/>
      <w:sz w:val="24"/>
      <w:szCs w:val="24"/>
      <w:lang w:val="es-ES"/>
    </w:rPr>
  </w:style>
  <w:style w:type="table" w:customStyle="1" w:styleId="TableNormal">
    <w:name w:val="Table Normal"/>
    <w:uiPriority w:val="2"/>
    <w:semiHidden/>
    <w:unhideWhenUsed/>
    <w:qFormat/>
    <w:rsid w:val="004E7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4E7AB7"/>
    <w:pPr>
      <w:spacing w:before="142"/>
      <w:ind w:left="660" w:hanging="442"/>
    </w:pPr>
    <w:rPr>
      <w:sz w:val="24"/>
      <w:szCs w:val="24"/>
    </w:rPr>
  </w:style>
  <w:style w:type="paragraph" w:styleId="Textoindependiente">
    <w:name w:val="Body Text"/>
    <w:basedOn w:val="Normal"/>
    <w:link w:val="TextoindependienteCar"/>
    <w:uiPriority w:val="1"/>
    <w:qFormat/>
    <w:rsid w:val="004E7AB7"/>
    <w:rPr>
      <w:sz w:val="24"/>
      <w:szCs w:val="24"/>
    </w:rPr>
  </w:style>
  <w:style w:type="character" w:customStyle="1" w:styleId="TextoindependienteCar">
    <w:name w:val="Texto independiente Car"/>
    <w:basedOn w:val="Fuentedeprrafopredeter"/>
    <w:link w:val="Textoindependiente"/>
    <w:uiPriority w:val="1"/>
    <w:rsid w:val="004E7AB7"/>
    <w:rPr>
      <w:rFonts w:ascii="Arial" w:eastAsia="Arial" w:hAnsi="Arial" w:cs="Arial"/>
      <w:sz w:val="24"/>
      <w:szCs w:val="24"/>
      <w:lang w:val="es-ES"/>
    </w:rPr>
  </w:style>
  <w:style w:type="paragraph" w:styleId="Prrafodelista">
    <w:name w:val="List Paragraph"/>
    <w:aliases w:val="Viñeta 6,Bolita,HOJA,List Paragraph,Párrafo de lista1,BOLA,Párrafo de lista2,Párrafo de lista3,Párrafo de lista21,BOLADEF,Guión,Titulo 8,bolita,Párrafo de lista31,Párrafo de lista211,Párrafo de lista5,List Paragraph1,MIBEX B,Titulo 1"/>
    <w:basedOn w:val="Normal"/>
    <w:link w:val="PrrafodelistaCar"/>
    <w:uiPriority w:val="34"/>
    <w:qFormat/>
    <w:rsid w:val="004E7AB7"/>
    <w:pPr>
      <w:spacing w:before="142"/>
      <w:ind w:left="939" w:hanging="361"/>
    </w:pPr>
  </w:style>
  <w:style w:type="paragraph" w:customStyle="1" w:styleId="TableParagraph">
    <w:name w:val="Table Paragraph"/>
    <w:basedOn w:val="Normal"/>
    <w:uiPriority w:val="1"/>
    <w:qFormat/>
    <w:rsid w:val="004E7AB7"/>
  </w:style>
  <w:style w:type="paragraph" w:styleId="Encabezado">
    <w:name w:val="header"/>
    <w:basedOn w:val="Normal"/>
    <w:link w:val="EncabezadoCar"/>
    <w:uiPriority w:val="99"/>
    <w:unhideWhenUsed/>
    <w:rsid w:val="004E7AB7"/>
    <w:pPr>
      <w:tabs>
        <w:tab w:val="center" w:pos="4419"/>
        <w:tab w:val="right" w:pos="8838"/>
      </w:tabs>
    </w:pPr>
  </w:style>
  <w:style w:type="character" w:customStyle="1" w:styleId="EncabezadoCar">
    <w:name w:val="Encabezado Car"/>
    <w:basedOn w:val="Fuentedeprrafopredeter"/>
    <w:link w:val="Encabezado"/>
    <w:uiPriority w:val="99"/>
    <w:rsid w:val="004E7AB7"/>
    <w:rPr>
      <w:rFonts w:ascii="Arial" w:eastAsia="Arial" w:hAnsi="Arial" w:cs="Arial"/>
      <w:lang w:val="es-ES"/>
    </w:rPr>
  </w:style>
  <w:style w:type="paragraph" w:styleId="Piedepgina">
    <w:name w:val="footer"/>
    <w:basedOn w:val="Normal"/>
    <w:link w:val="PiedepginaCar"/>
    <w:uiPriority w:val="99"/>
    <w:unhideWhenUsed/>
    <w:rsid w:val="004E7AB7"/>
    <w:pPr>
      <w:tabs>
        <w:tab w:val="center" w:pos="4419"/>
        <w:tab w:val="right" w:pos="8838"/>
      </w:tabs>
    </w:pPr>
  </w:style>
  <w:style w:type="character" w:customStyle="1" w:styleId="PiedepginaCar">
    <w:name w:val="Pie de página Car"/>
    <w:basedOn w:val="Fuentedeprrafopredeter"/>
    <w:link w:val="Piedepgina"/>
    <w:uiPriority w:val="99"/>
    <w:rsid w:val="004E7AB7"/>
    <w:rPr>
      <w:rFonts w:ascii="Arial" w:eastAsia="Arial" w:hAnsi="Arial" w:cs="Arial"/>
      <w:lang w:val="es-ES"/>
    </w:rPr>
  </w:style>
  <w:style w:type="paragraph" w:styleId="NormalWeb">
    <w:name w:val="Normal (Web)"/>
    <w:basedOn w:val="Normal"/>
    <w:uiPriority w:val="99"/>
    <w:unhideWhenUsed/>
    <w:rsid w:val="00065310"/>
    <w:pPr>
      <w:widowControl/>
      <w:autoSpaceDE/>
      <w:autoSpaceDN/>
      <w:spacing w:before="100" w:beforeAutospacing="1" w:after="100" w:afterAutospacing="1"/>
    </w:pPr>
    <w:rPr>
      <w:rFonts w:ascii="Times New Roman" w:eastAsia="Times New Roman" w:hAnsi="Times New Roman" w:cs="Times New Roman"/>
      <w:sz w:val="24"/>
      <w:szCs w:val="24"/>
      <w:lang w:val="es-CO" w:eastAsia="es-ES_tradnl"/>
    </w:rPr>
  </w:style>
  <w:style w:type="character" w:styleId="Textoennegrita">
    <w:name w:val="Strong"/>
    <w:basedOn w:val="Fuentedeprrafopredeter"/>
    <w:uiPriority w:val="22"/>
    <w:qFormat/>
    <w:rsid w:val="00065310"/>
    <w:rPr>
      <w:b/>
      <w:bCs/>
    </w:rPr>
  </w:style>
  <w:style w:type="character" w:customStyle="1" w:styleId="PrrafodelistaCar">
    <w:name w:val="Párrafo de lista Car"/>
    <w:aliases w:val="Viñeta 6 Car,Bolita Car,HOJA Car,List Paragraph Car,Párrafo de lista1 Car,BOLA Car,Párrafo de lista2 Car,Párrafo de lista3 Car,Párrafo de lista21 Car,BOLADEF Car,Guión Car,Titulo 8 Car,bolita Car,Párrafo de lista31 Car,MIBEX B Car"/>
    <w:basedOn w:val="Fuentedeprrafopredeter"/>
    <w:link w:val="Prrafodelista"/>
    <w:uiPriority w:val="34"/>
    <w:locked/>
    <w:rsid w:val="002C4DEC"/>
    <w:rPr>
      <w:rFonts w:ascii="Arial" w:eastAsia="Arial" w:hAnsi="Arial" w:cs="Arial"/>
      <w:lang w:val="es-ES"/>
    </w:rPr>
  </w:style>
  <w:style w:type="paragraph" w:customStyle="1" w:styleId="Default">
    <w:name w:val="Default"/>
    <w:rsid w:val="009858A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1295">
      <w:bodyDiv w:val="1"/>
      <w:marLeft w:val="0"/>
      <w:marRight w:val="0"/>
      <w:marTop w:val="0"/>
      <w:marBottom w:val="0"/>
      <w:divBdr>
        <w:top w:val="none" w:sz="0" w:space="0" w:color="auto"/>
        <w:left w:val="none" w:sz="0" w:space="0" w:color="auto"/>
        <w:bottom w:val="none" w:sz="0" w:space="0" w:color="auto"/>
        <w:right w:val="none" w:sz="0" w:space="0" w:color="auto"/>
      </w:divBdr>
    </w:div>
    <w:div w:id="207673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5799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Behar</dc:creator>
  <cp:keywords/>
  <dc:description/>
  <cp:lastModifiedBy>Felipe Salazar</cp:lastModifiedBy>
  <cp:revision>2</cp:revision>
  <cp:lastPrinted>2024-03-05T16:28:00Z</cp:lastPrinted>
  <dcterms:created xsi:type="dcterms:W3CDTF">2025-11-07T12:58:00Z</dcterms:created>
  <dcterms:modified xsi:type="dcterms:W3CDTF">2025-11-07T12:58:00Z</dcterms:modified>
</cp:coreProperties>
</file>